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pStyle w:val="2"/>
      </w:pPr>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中共阿坝州委党校</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2024年部门预算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2"/>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pStyle w:val="12"/>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ascii="黑体" w:eastAsia="黑体"/>
          <w:sz w:val="32"/>
          <w:szCs w:val="32"/>
        </w:rPr>
      </w:pPr>
      <w:r>
        <w:rPr>
          <w:rFonts w:hint="eastAsia" w:ascii="黑体" w:eastAsia="黑体"/>
          <w:sz w:val="32"/>
          <w:szCs w:val="32"/>
        </w:rPr>
        <w:t>一、基本职能及主要工作</w:t>
      </w:r>
    </w:p>
    <w:p>
      <w:pPr>
        <w:pStyle w:val="13"/>
        <w:keepNext w:val="0"/>
        <w:keepLines w:val="0"/>
        <w:pageBreakBefore w:val="0"/>
        <w:kinsoku/>
        <w:wordWrap/>
        <w:overflowPunct/>
        <w:topLinePunct w:val="0"/>
        <w:autoSpaceDE/>
        <w:autoSpaceDN/>
        <w:bidi w:val="0"/>
        <w:adjustRightInd/>
        <w:snapToGrid/>
        <w:spacing w:before="0" w:line="576" w:lineRule="exact"/>
        <w:ind w:firstLine="660"/>
        <w:textAlignment w:val="auto"/>
        <w:rPr>
          <w:rFonts w:hint="eastAsia" w:ascii="楷体_GB2312" w:hAnsi="楷体_GB2312" w:eastAsia="楷体_GB2312" w:cs="楷体_GB2312"/>
          <w:b/>
          <w:bCs/>
          <w:kern w:val="2"/>
          <w:sz w:val="32"/>
          <w:szCs w:val="32"/>
        </w:rPr>
      </w:pPr>
      <w:r>
        <w:rPr>
          <w:rFonts w:hint="eastAsia" w:ascii="楷体_GB2312" w:hAnsi="楷体_GB2312" w:eastAsia="楷体_GB2312" w:cs="楷体_GB2312"/>
          <w:b/>
          <w:bCs/>
          <w:kern w:val="2"/>
          <w:sz w:val="32"/>
          <w:szCs w:val="32"/>
        </w:rPr>
        <w:t>（一）部门职能简介</w:t>
      </w:r>
    </w:p>
    <w:p>
      <w:pPr>
        <w:keepNext w:val="0"/>
        <w:keepLines w:val="0"/>
        <w:pageBreakBefore w:val="0"/>
        <w:widowControl/>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中共阿坝州委党校的主要职能</w:t>
      </w:r>
      <w:r>
        <w:rPr>
          <w:rFonts w:hint="default" w:ascii="仿宋_GB2312" w:eastAsia="仿宋_GB2312"/>
          <w:sz w:val="32"/>
          <w:szCs w:val="32"/>
        </w:rPr>
        <w:t>是</w:t>
      </w:r>
      <w:r>
        <w:rPr>
          <w:rFonts w:hint="eastAsia" w:ascii="仿宋_GB2312" w:eastAsia="仿宋_GB2312"/>
          <w:sz w:val="32"/>
          <w:szCs w:val="32"/>
        </w:rPr>
        <w:t>按照党中央对干部队伍建设的要求和省、州干部教育培训规划，对干部进行培训教育。研究马列主义、毛泽东思想、邓小平理论、三个代表重要思想、科学发展观及习近平新时代中国特色社会主义思想。培养宣传骨干，负责举办培训班、轮训班、读书班、理论研讨班、培训党员干部、入党积极分子、系统的进行马克思基本理论、党的基本路线基础知识教育和灌输。负责党校教师聘任和队伍建设。承担党的建设理论研究，以及对党组织和党员状况调查研究，弘扬红军长征精神，锤炼干部坚强党性。</w:t>
      </w:r>
      <w:r>
        <w:rPr>
          <w:rFonts w:hint="default" w:ascii="Times New Roman" w:hAnsi="Times New Roman" w:eastAsia="仿宋_GB2312" w:cs="Times New Roman"/>
          <w:kern w:val="0"/>
          <w:sz w:val="32"/>
          <w:szCs w:val="32"/>
          <w:lang w:bidi="ar"/>
        </w:rPr>
        <w:t>围绕州委州政府中心工作和地区热点难点问题，开展理论研究和现实问题研究，承担州委州政府政策咨询服务，发挥新型高端智库作用。</w:t>
      </w:r>
    </w:p>
    <w:p>
      <w:pPr>
        <w:pStyle w:val="13"/>
        <w:keepNext w:val="0"/>
        <w:keepLines w:val="0"/>
        <w:pageBreakBefore w:val="0"/>
        <w:kinsoku/>
        <w:wordWrap/>
        <w:overflowPunct/>
        <w:topLinePunct w:val="0"/>
        <w:autoSpaceDE/>
        <w:autoSpaceDN/>
        <w:bidi w:val="0"/>
        <w:adjustRightInd/>
        <w:snapToGrid/>
        <w:spacing w:before="0" w:line="576" w:lineRule="exact"/>
        <w:ind w:firstLine="660"/>
        <w:textAlignment w:val="auto"/>
        <w:rPr>
          <w:rFonts w:hint="eastAsia" w:ascii="楷体_GB2312" w:hAnsi="楷体_GB2312" w:eastAsia="楷体_GB2312" w:cs="楷体_GB2312"/>
          <w:b/>
          <w:bCs/>
          <w:kern w:val="2"/>
          <w:sz w:val="32"/>
          <w:szCs w:val="32"/>
        </w:rPr>
      </w:pPr>
      <w:r>
        <w:rPr>
          <w:rFonts w:hint="eastAsia" w:ascii="楷体_GB2312" w:hAnsi="楷体_GB2312" w:eastAsia="楷体_GB2312" w:cs="楷体_GB2312"/>
          <w:b/>
          <w:bCs/>
          <w:kern w:val="2"/>
          <w:sz w:val="32"/>
          <w:szCs w:val="32"/>
        </w:rPr>
        <w:t>（二）2024年重点工作</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default" w:ascii="Times New Roman" w:hAnsi="Times New Roman" w:eastAsia="仿宋_GB2312" w:cs="Times New Roman"/>
          <w:kern w:val="2"/>
          <w:sz w:val="32"/>
          <w:szCs w:val="32"/>
          <w:lang w:val="en-US" w:eastAsia="zh-CN" w:bidi="ar-SA"/>
        </w:rPr>
      </w:pPr>
      <w:r>
        <w:rPr>
          <w:rFonts w:hint="eastAsia" w:ascii="仿宋_GB2312" w:hAnsi="仿宋_GB2312" w:eastAsia="仿宋_GB2312" w:cs="仿宋_GB2312"/>
          <w:b/>
          <w:bCs/>
          <w:sz w:val="32"/>
          <w:szCs w:val="32"/>
          <w:lang w:eastAsia="zh-CN"/>
        </w:rPr>
        <w:t>1、</w:t>
      </w:r>
      <w:r>
        <w:rPr>
          <w:rFonts w:hint="eastAsia" w:ascii="仿宋_GB2312" w:hAnsi="仿宋_GB2312" w:eastAsia="仿宋_GB2312" w:cs="仿宋_GB2312"/>
          <w:b/>
          <w:bCs/>
          <w:sz w:val="32"/>
          <w:szCs w:val="32"/>
          <w:lang w:val="en-US" w:eastAsia="zh-CN"/>
        </w:rPr>
        <w:t>坚持政治立校，围绕中心服务大局。</w:t>
      </w:r>
      <w:r>
        <w:rPr>
          <w:rFonts w:hint="default" w:ascii="Times New Roman" w:hAnsi="Times New Roman" w:eastAsia="仿宋_GB2312" w:cs="Times New Roman"/>
          <w:kern w:val="2"/>
          <w:sz w:val="32"/>
          <w:szCs w:val="32"/>
          <w:lang w:val="en-US" w:eastAsia="zh-CN" w:bidi="ar-SA"/>
        </w:rPr>
        <w:t>深入贯彻落实《干部教育培训条例》《全国干部教育培训规划（2023－2027年）》，推动学习贯彻习近平总书记重要讲话精神在党校见行见效；强化党校初心教育，加强党校教育和干部成长规律研究；在“结合点、切入点、着力点”方面深化研究、完善具体措施，在围绕中心服务大局中彰显“为党育才、为党献策”独特价值。</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default" w:ascii="Times New Roman" w:hAnsi="Times New Roman" w:eastAsia="仿宋_GB2312" w:cs="Times New Roman"/>
          <w:kern w:val="2"/>
          <w:sz w:val="32"/>
          <w:szCs w:val="32"/>
          <w:lang w:val="en-US" w:eastAsia="zh-CN" w:bidi="ar-SA"/>
        </w:rPr>
      </w:pPr>
      <w:r>
        <w:rPr>
          <w:rFonts w:hint="default" w:ascii="仿宋_GB2312" w:hAnsi="仿宋_GB2312" w:eastAsia="仿宋_GB2312" w:cs="仿宋_GB2312"/>
          <w:b/>
          <w:bCs/>
          <w:sz w:val="32"/>
          <w:szCs w:val="32"/>
          <w:lang w:eastAsia="zh-CN"/>
        </w:rPr>
        <w:t>2、</w:t>
      </w:r>
      <w:r>
        <w:rPr>
          <w:rFonts w:hint="default" w:ascii="仿宋_GB2312" w:hAnsi="仿宋_GB2312" w:eastAsia="仿宋_GB2312" w:cs="仿宋_GB2312"/>
          <w:b/>
          <w:bCs/>
          <w:sz w:val="32"/>
          <w:szCs w:val="32"/>
          <w:lang w:val="en-US" w:eastAsia="zh-CN"/>
        </w:rPr>
        <w:t>坚持教学与实践衔接，构建融通机制。</w:t>
      </w:r>
      <w:r>
        <w:rPr>
          <w:rFonts w:hint="default" w:ascii="Times New Roman" w:hAnsi="Times New Roman" w:eastAsia="仿宋_GB2312" w:cs="Times New Roman"/>
          <w:kern w:val="2"/>
          <w:sz w:val="32"/>
          <w:szCs w:val="32"/>
          <w:lang w:val="en-US" w:eastAsia="zh-CN" w:bidi="ar-SA"/>
        </w:rPr>
        <w:t>锚定党委政府中心工作，聚焦重大现实问题设置课题研究，打通教研咨对接经济社会发展的机制和渠道；加大教学实践基地建设，开展案例教学；探索党校教师下派挂职、蹲点调研等长效机制；突出问题导向和实践导向，加强需求调研，开展“菜单式”教学。</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2" w:firstLineChars="200"/>
        <w:textAlignment w:val="auto"/>
        <w:rPr>
          <w:rFonts w:hint="default" w:ascii="Times New Roman" w:hAnsi="Times New Roman" w:cs="Times New Roman"/>
          <w:lang w:val="en-US" w:eastAsia="zh-CN"/>
        </w:rPr>
      </w:pPr>
      <w:r>
        <w:rPr>
          <w:rFonts w:hint="default" w:ascii="仿宋_GB2312" w:hAnsi="仿宋_GB2312" w:eastAsia="仿宋_GB2312" w:cs="仿宋_GB2312"/>
          <w:b/>
          <w:bCs/>
          <w:sz w:val="32"/>
          <w:szCs w:val="32"/>
          <w:lang w:eastAsia="zh-CN"/>
        </w:rPr>
        <w:t>3、</w:t>
      </w:r>
      <w:r>
        <w:rPr>
          <w:rFonts w:hint="default" w:ascii="仿宋_GB2312" w:hAnsi="仿宋_GB2312" w:eastAsia="仿宋_GB2312" w:cs="仿宋_GB2312"/>
          <w:b/>
          <w:bCs/>
          <w:sz w:val="32"/>
          <w:szCs w:val="32"/>
          <w:lang w:val="en-US" w:eastAsia="zh-CN"/>
        </w:rPr>
        <w:t>践行党校初心，发挥阵地智库作用。</w:t>
      </w:r>
      <w:r>
        <w:rPr>
          <w:rFonts w:hint="default" w:ascii="Times New Roman" w:hAnsi="Times New Roman" w:eastAsia="仿宋_GB2312" w:cs="Times New Roman"/>
          <w:kern w:val="2"/>
          <w:sz w:val="32"/>
          <w:szCs w:val="32"/>
          <w:lang w:val="en-US" w:eastAsia="zh-CN" w:bidi="ar-SA"/>
        </w:rPr>
        <w:t>树牢“课比天大”理念，优化课程设计，开发新专题，打造省级精品课程，优化提升教学基地和案例库；树立“精品意识”，建立跨地区跨部门跨学科智库多元合作机制，力争在高级别刊物发表更多文章；提升省州课题申报数量和质量；健全科研成果向教学、理论宣传转化机制；增强决策咨询的针对性和时效性，提高成果转化率和领导签批率。</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2" w:firstLineChars="200"/>
        <w:textAlignment w:val="auto"/>
        <w:rPr>
          <w:rFonts w:hint="default" w:ascii="Times New Roman" w:hAnsi="Times New Roman" w:eastAsia="仿宋_GB2312" w:cs="Times New Roman"/>
          <w:kern w:val="2"/>
          <w:sz w:val="32"/>
          <w:szCs w:val="32"/>
          <w:lang w:val="en-US" w:eastAsia="zh-CN" w:bidi="ar-SA"/>
        </w:rPr>
      </w:pPr>
      <w:r>
        <w:rPr>
          <w:rFonts w:hint="default" w:ascii="仿宋_GB2312" w:hAnsi="仿宋_GB2312" w:eastAsia="仿宋_GB2312" w:cs="仿宋_GB2312"/>
          <w:b/>
          <w:bCs/>
          <w:sz w:val="32"/>
          <w:szCs w:val="32"/>
          <w:lang w:eastAsia="zh-CN"/>
        </w:rPr>
        <w:t>4、</w:t>
      </w:r>
      <w:r>
        <w:rPr>
          <w:rFonts w:hint="default" w:ascii="仿宋_GB2312" w:hAnsi="仿宋_GB2312" w:eastAsia="仿宋_GB2312" w:cs="仿宋_GB2312"/>
          <w:b/>
          <w:bCs/>
          <w:sz w:val="32"/>
          <w:szCs w:val="32"/>
          <w:lang w:val="en-US" w:eastAsia="zh-CN"/>
        </w:rPr>
        <w:t>坚持人才战略，在“引、育、管、用”上出实招。</w:t>
      </w:r>
      <w:r>
        <w:rPr>
          <w:rFonts w:hint="default" w:ascii="Times New Roman" w:hAnsi="Times New Roman" w:eastAsia="仿宋_GB2312" w:cs="Times New Roman"/>
          <w:kern w:val="2"/>
          <w:sz w:val="32"/>
          <w:szCs w:val="32"/>
          <w:lang w:val="en-US" w:eastAsia="zh-CN" w:bidi="ar-SA"/>
        </w:rPr>
        <w:t>用好用活支持党校建设“人才十条”政策，拓宽人才引进渠道；深入实施新入职教师“强基墩苗计划”和师资提能计划，青年骨干教师“压担育苗计划”和学科带头人“名师培养计划”；实施创新工程，完善激励机制，优化绩效分配制度，增强教师岗位吸引力；加大“请进来”“走出去”力度，努力建设一支政治合格、素质优良、结构合理、专兼结合的骨干师资队伍。</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2" w:firstLineChars="200"/>
        <w:textAlignment w:val="auto"/>
        <w:rPr>
          <w:rFonts w:hint="default" w:ascii="Times New Roman" w:hAnsi="Times New Roman" w:eastAsia="仿宋_GB2312" w:cs="Times New Roman"/>
          <w:kern w:val="2"/>
          <w:sz w:val="32"/>
          <w:szCs w:val="32"/>
          <w:lang w:val="en-US" w:eastAsia="zh-CN" w:bidi="ar-SA"/>
        </w:rPr>
      </w:pPr>
      <w:r>
        <w:rPr>
          <w:rFonts w:hint="default" w:ascii="仿宋_GB2312" w:hAnsi="仿宋_GB2312" w:eastAsia="仿宋_GB2312" w:cs="仿宋_GB2312"/>
          <w:b/>
          <w:bCs/>
          <w:sz w:val="32"/>
          <w:szCs w:val="32"/>
          <w:lang w:eastAsia="zh-CN"/>
        </w:rPr>
        <w:t>5、</w:t>
      </w:r>
      <w:r>
        <w:rPr>
          <w:rFonts w:hint="default" w:ascii="仿宋_GB2312" w:hAnsi="仿宋_GB2312" w:eastAsia="仿宋_GB2312" w:cs="仿宋_GB2312"/>
          <w:b/>
          <w:bCs/>
          <w:sz w:val="32"/>
          <w:szCs w:val="32"/>
          <w:lang w:val="en-US" w:eastAsia="zh-CN"/>
        </w:rPr>
        <w:t>以管理服务改革为重点，提升后勤服务保障效能。</w:t>
      </w:r>
      <w:r>
        <w:rPr>
          <w:rFonts w:hint="default" w:ascii="Times New Roman" w:hAnsi="Times New Roman" w:eastAsia="仿宋_GB2312" w:cs="Times New Roman"/>
          <w:kern w:val="2"/>
          <w:sz w:val="32"/>
          <w:szCs w:val="32"/>
          <w:lang w:val="en-US" w:eastAsia="zh-CN" w:bidi="ar-SA"/>
        </w:rPr>
        <w:t>以智慧校园建设为载体深化后勤管理服务改革；激发红色活力，以振兴发展“红色美丽村庄”、培育壮大长征沿线特色村落集体经济为载体助力打造乡村振兴示范区；加快推进汶川和松潘校区建设进度，强化过程监管，督导项目落实，力争如期建成投用。</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2" w:firstLineChars="200"/>
        <w:textAlignment w:val="auto"/>
        <w:rPr>
          <w:rFonts w:hint="default" w:ascii="Times New Roman" w:hAnsi="Times New Roman" w:eastAsia="仿宋_GB2312" w:cs="Times New Roman"/>
          <w:kern w:val="2"/>
          <w:sz w:val="32"/>
          <w:szCs w:val="32"/>
          <w:lang w:val="en-US" w:eastAsia="zh-CN" w:bidi="ar-SA"/>
        </w:rPr>
      </w:pPr>
      <w:r>
        <w:rPr>
          <w:rFonts w:hint="default" w:ascii="仿宋_GB2312" w:hAnsi="仿宋_GB2312" w:eastAsia="仿宋_GB2312" w:cs="仿宋_GB2312"/>
          <w:b/>
          <w:bCs/>
          <w:sz w:val="32"/>
          <w:szCs w:val="32"/>
          <w:lang w:eastAsia="zh-CN"/>
        </w:rPr>
        <w:t>6、</w:t>
      </w:r>
      <w:r>
        <w:rPr>
          <w:rFonts w:hint="default" w:ascii="仿宋_GB2312" w:hAnsi="仿宋_GB2312" w:eastAsia="仿宋_GB2312" w:cs="仿宋_GB2312"/>
          <w:b/>
          <w:bCs/>
          <w:sz w:val="32"/>
          <w:szCs w:val="32"/>
          <w:lang w:val="en-US" w:eastAsia="zh-CN"/>
        </w:rPr>
        <w:t>坚持从严治校，发挥“净化器”、“大熔炉”、“风向标”作用。</w:t>
      </w:r>
      <w:r>
        <w:rPr>
          <w:rFonts w:hint="default" w:ascii="Times New Roman" w:hAnsi="Times New Roman" w:eastAsia="仿宋_GB2312" w:cs="Times New Roman"/>
          <w:kern w:val="2"/>
          <w:sz w:val="32"/>
          <w:szCs w:val="32"/>
          <w:lang w:val="en-US" w:eastAsia="zh-CN" w:bidi="ar-SA"/>
        </w:rPr>
        <w:t>以制度建设推动严以治校常态化，严把教学科研政治关，严格课程准入标准，引导教师潜心治学、悉心育人；加强学风建设，探索建立学员培训情况全程纪实考评办法，发挥多元主体作用，打好敢抓敢管“组合拳”，打造“治理共同体”，形成从严治校的威力，确保红色学府风清气正。</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2" w:firstLineChars="200"/>
        <w:textAlignment w:val="auto"/>
        <w:rPr>
          <w:rFonts w:hint="default" w:ascii="Times New Roman" w:hAnsi="Times New Roman" w:eastAsia="仿宋_GB2312" w:cs="Times New Roman"/>
          <w:kern w:val="2"/>
          <w:sz w:val="32"/>
          <w:szCs w:val="32"/>
          <w:lang w:val="en-US" w:eastAsia="zh-CN" w:bidi="ar-SA"/>
        </w:rPr>
      </w:pPr>
      <w:r>
        <w:rPr>
          <w:rFonts w:hint="eastAsia" w:ascii="仿宋_GB2312" w:hAnsi="仿宋_GB2312" w:eastAsia="仿宋_GB2312" w:cs="仿宋_GB2312"/>
          <w:b/>
          <w:bCs/>
          <w:sz w:val="32"/>
          <w:szCs w:val="32"/>
          <w:lang w:eastAsia="zh-CN"/>
        </w:rPr>
        <w:t>7、</w:t>
      </w:r>
      <w:r>
        <w:rPr>
          <w:rFonts w:hint="eastAsia" w:ascii="仿宋_GB2312" w:hAnsi="仿宋_GB2312" w:eastAsia="仿宋_GB2312" w:cs="仿宋_GB2312"/>
          <w:b/>
          <w:bCs/>
          <w:sz w:val="32"/>
          <w:szCs w:val="32"/>
          <w:lang w:val="en-US" w:eastAsia="zh-CN"/>
        </w:rPr>
        <w:t>强化业务指导，推动内涵式发展。</w:t>
      </w:r>
      <w:r>
        <w:rPr>
          <w:rFonts w:hint="default" w:ascii="Times New Roman" w:hAnsi="Times New Roman" w:eastAsia="仿宋_GB2312" w:cs="Times New Roman"/>
          <w:kern w:val="2"/>
          <w:sz w:val="32"/>
          <w:szCs w:val="32"/>
          <w:lang w:val="en-US" w:eastAsia="zh-CN" w:bidi="ar-SA"/>
        </w:rPr>
        <w:t>补短板强弱项，以“五大工程”为抓手，深化县级党校分类建设；实施“三送三下”工程，建立全州党校系统实践练兵等配套制度，完善省州县三级党校资源共享、学科共建、师资共育、课题共研协作机制；</w:t>
      </w:r>
      <w:r>
        <w:rPr>
          <w:rFonts w:hint="eastAsia" w:ascii="Times New Roman" w:hAnsi="Times New Roman" w:eastAsia="仿宋_GB2312" w:cs="Times New Roman"/>
          <w:kern w:val="2"/>
          <w:sz w:val="32"/>
          <w:szCs w:val="32"/>
          <w:lang w:val="en-US" w:eastAsia="zh-CN" w:bidi="ar-SA"/>
        </w:rPr>
        <w:t>制定具体举措</w:t>
      </w:r>
      <w:r>
        <w:rPr>
          <w:rFonts w:hint="default" w:ascii="Times New Roman" w:hAnsi="Times New Roman" w:eastAsia="仿宋_GB2312" w:cs="Times New Roman"/>
          <w:kern w:val="2"/>
          <w:sz w:val="32"/>
          <w:szCs w:val="32"/>
          <w:lang w:val="en-US" w:eastAsia="zh-CN" w:bidi="ar-SA"/>
        </w:rPr>
        <w:t>支持区域中心党校做大做强、做特做优，汇聚联动办学合力</w:t>
      </w:r>
      <w:r>
        <w:rPr>
          <w:rFonts w:hint="eastAsia" w:ascii="Times New Roman" w:hAnsi="Times New Roman" w:eastAsia="仿宋_GB2312" w:cs="Times New Roman"/>
          <w:kern w:val="2"/>
          <w:sz w:val="32"/>
          <w:szCs w:val="32"/>
          <w:lang w:val="en-US" w:eastAsia="zh-CN" w:bidi="ar-SA"/>
        </w:rPr>
        <w:t>，构建州委党校龙头引领、州县（市）党校共建共享、区域中心校辐射带动作用的内涵式发展新格局</w:t>
      </w:r>
      <w:r>
        <w:rPr>
          <w:rFonts w:hint="default" w:ascii="Times New Roman" w:hAnsi="Times New Roman" w:eastAsia="仿宋_GB2312" w:cs="Times New Roman"/>
          <w:kern w:val="2"/>
          <w:sz w:val="32"/>
          <w:szCs w:val="32"/>
          <w:lang w:val="en-US" w:eastAsia="zh-CN" w:bidi="ar-SA"/>
        </w:rPr>
        <w:t>。</w:t>
      </w:r>
    </w:p>
    <w:p>
      <w:pPr>
        <w:pStyle w:val="12"/>
        <w:keepNext w:val="0"/>
        <w:keepLines w:val="0"/>
        <w:pageBreakBefore w:val="0"/>
        <w:numPr>
          <w:ilvl w:val="0"/>
          <w:numId w:val="0"/>
        </w:numPr>
        <w:kinsoku/>
        <w:wordWrap/>
        <w:overflowPunct/>
        <w:topLinePunct w:val="0"/>
        <w:autoSpaceDE/>
        <w:autoSpaceDN/>
        <w:bidi w:val="0"/>
        <w:adjustRightInd/>
        <w:snapToGrid/>
        <w:spacing w:line="576" w:lineRule="exact"/>
        <w:ind w:left="640" w:leftChars="0"/>
        <w:textAlignment w:val="auto"/>
        <w:rPr>
          <w:rFonts w:ascii="黑体" w:eastAsia="黑体"/>
          <w:sz w:val="32"/>
          <w:szCs w:val="32"/>
        </w:rPr>
      </w:pPr>
      <w:r>
        <w:rPr>
          <w:rFonts w:hint="default" w:ascii="黑体" w:eastAsia="黑体"/>
          <w:sz w:val="32"/>
          <w:szCs w:val="32"/>
        </w:rPr>
        <w:t>二、</w:t>
      </w:r>
      <w:r>
        <w:rPr>
          <w:rFonts w:hint="eastAsia" w:ascii="黑体" w:eastAsia="黑体"/>
          <w:sz w:val="32"/>
          <w:szCs w:val="32"/>
        </w:rPr>
        <w:t>部门预算单位构成</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default" w:ascii="仿宋_GB2312" w:eastAsia="仿宋_GB2312"/>
          <w:sz w:val="32"/>
          <w:szCs w:val="32"/>
        </w:rPr>
      </w:pPr>
      <w:r>
        <w:rPr>
          <w:rFonts w:hint="default" w:ascii="仿宋_GB2312" w:eastAsia="仿宋_GB2312"/>
          <w:sz w:val="32"/>
          <w:szCs w:val="32"/>
        </w:rPr>
        <w:t>中共阿坝州委党校属事业单位，公益一类，财政一级预算单位，无下属二级机</w:t>
      </w:r>
      <w:r>
        <w:rPr>
          <w:rFonts w:hint="default" w:ascii="仿宋_GB2312" w:eastAsia="仿宋_GB2312"/>
          <w:sz w:val="32"/>
          <w:szCs w:val="32"/>
        </w:rPr>
        <w:t>构</w:t>
      </w:r>
      <w:r>
        <w:rPr>
          <w:rFonts w:hint="default" w:ascii="仿宋_GB2312" w:eastAsia="仿宋_GB2312"/>
          <w:sz w:val="32"/>
          <w:szCs w:val="32"/>
        </w:rPr>
        <w:t>，单位内设办公室、组织人事科、机关党办、教务科、业务指导科、科研和决策咨询科、党党建与文化教研室、管理经济与法学教研室、政治学与社会学教研室，信息技术科、总务科、计划财务科、基建科、对外培训科、图书馆、长征精神研究室等16个科室</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rPr>
        <w:t>单位在编车辆7辆。</w:t>
      </w:r>
    </w:p>
    <w:p>
      <w:pPr>
        <w:pStyle w:val="12"/>
        <w:keepNext w:val="0"/>
        <w:keepLines w:val="0"/>
        <w:pageBreakBefore w:val="0"/>
        <w:kinsoku/>
        <w:wordWrap/>
        <w:overflowPunct/>
        <w:topLinePunct w:val="0"/>
        <w:autoSpaceDE/>
        <w:autoSpaceDN/>
        <w:bidi w:val="0"/>
        <w:adjustRightInd/>
        <w:snapToGrid/>
        <w:spacing w:line="576" w:lineRule="exact"/>
        <w:ind w:left="720" w:firstLine="0" w:firstLineChars="0"/>
        <w:textAlignment w:val="auto"/>
        <w:rPr>
          <w:rFonts w:ascii="黑体" w:eastAsia="黑体"/>
          <w:sz w:val="32"/>
          <w:szCs w:val="32"/>
        </w:rPr>
      </w:pPr>
      <w:r>
        <w:rPr>
          <w:rFonts w:hint="eastAsia" w:ascii="黑体" w:eastAsia="黑体"/>
          <w:sz w:val="32"/>
          <w:szCs w:val="32"/>
        </w:rPr>
        <w:t>三、收支预算情况说明</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（一）收入预算情况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2024年收入预算共计5364.54万元，较2023年增加</w:t>
      </w:r>
      <w:r>
        <w:rPr>
          <w:rFonts w:hint="default" w:ascii="仿宋_GB2312" w:hAnsi="仿宋_GB2312" w:eastAsia="仿宋_GB2312" w:cs="仿宋_GB2312"/>
          <w:sz w:val="32"/>
          <w:szCs w:val="32"/>
        </w:rPr>
        <w:t>677.12万元，其中：一般公共预算拨款收入3090.54万元，占收入预算的57.61%，较上年增加402.12万元，增加的主要原因是2024年增加食堂改造项目，资金400万元；财政专户收入2275万元，较上年增加275万元，增加的主要原因是：随着经济回升，预算2024年培训班有所增加，培训班吃、住、行、教学等方面所需经费相应增加。</w:t>
      </w:r>
    </w:p>
    <w:p>
      <w:pPr>
        <w:keepNext w:val="0"/>
        <w:keepLines w:val="0"/>
        <w:pageBreakBefore w:val="0"/>
        <w:numPr>
          <w:ilvl w:val="0"/>
          <w:numId w:val="0"/>
        </w:numPr>
        <w:kinsoku/>
        <w:wordWrap/>
        <w:overflowPunct/>
        <w:topLinePunct w:val="0"/>
        <w:autoSpaceDE/>
        <w:autoSpaceDN/>
        <w:bidi w:val="0"/>
        <w:adjustRightInd/>
        <w:snapToGrid/>
        <w:spacing w:line="576" w:lineRule="exact"/>
        <w:ind w:left="640" w:leftChars="0"/>
        <w:jc w:val="lef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（二）支出预算情况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按照收支平衡原则，学校2024年部门预算支出共计5365.54万元，较上年增加851.97万元，增加的主要原因是2024年</w:t>
      </w:r>
      <w:r>
        <w:rPr>
          <w:rFonts w:hint="default" w:ascii="仿宋_GB2312" w:hAnsi="仿宋_GB2312" w:eastAsia="仿宋_GB2312" w:cs="仿宋_GB2312"/>
          <w:sz w:val="32"/>
          <w:szCs w:val="32"/>
        </w:rPr>
        <w:t>新增</w:t>
      </w:r>
      <w:r>
        <w:rPr>
          <w:rFonts w:hint="default" w:ascii="仿宋_GB2312" w:hAnsi="仿宋_GB2312" w:eastAsia="仿宋_GB2312" w:cs="仿宋_GB2312"/>
          <w:sz w:val="32"/>
          <w:szCs w:val="32"/>
        </w:rPr>
        <w:t>食堂改造项目，资金400万元；随着经济回升，预算2024年培训班有所增加，培训班吃、住、行、教学等方面所需经费相应增加。增加学校创新工程项目资金100万元。</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default" w:ascii="楷体" w:eastAsia="楷体" w:cs="仿宋_GB2312"/>
          <w:sz w:val="32"/>
          <w:szCs w:val="32"/>
        </w:rPr>
      </w:pPr>
      <w:r>
        <w:rPr>
          <w:rFonts w:hint="default" w:ascii="仿宋_GB2312" w:hAnsi="仿宋_GB2312" w:eastAsia="仿宋_GB2312" w:cs="仿宋_GB2312"/>
          <w:sz w:val="32"/>
          <w:szCs w:val="32"/>
        </w:rPr>
        <w:t>2024年支出预算中，基本支出2602.74万元，占支出预算的48.51%，项目支出2762.8万元，占支出预算的51.49%。项目支出主要有：科研项目、食堂改造项目，办公设</w:t>
      </w:r>
      <w:r>
        <w:rPr>
          <w:rFonts w:hint="default" w:ascii="仿宋_GB2312" w:hAnsi="仿宋_GB2312" w:eastAsia="仿宋_GB2312" w:cs="仿宋_GB2312"/>
          <w:sz w:val="32"/>
          <w:szCs w:val="32"/>
        </w:rPr>
        <w:t>备</w:t>
      </w:r>
      <w:r>
        <w:rPr>
          <w:rFonts w:hint="default" w:ascii="仿宋_GB2312" w:hAnsi="仿宋_GB2312" w:eastAsia="仿宋_GB2312" w:cs="仿宋_GB2312"/>
          <w:sz w:val="32"/>
          <w:szCs w:val="32"/>
        </w:rPr>
        <w:t>更换项目、培训班保障项目等。</w:t>
      </w:r>
    </w:p>
    <w:p>
      <w:pPr>
        <w:keepNext w:val="0"/>
        <w:keepLines w:val="0"/>
        <w:pageBreakBefore w:val="0"/>
        <w:numPr>
          <w:ilvl w:val="0"/>
          <w:numId w:val="0"/>
        </w:numPr>
        <w:kinsoku/>
        <w:wordWrap/>
        <w:overflowPunct/>
        <w:topLinePunct w:val="0"/>
        <w:autoSpaceDE/>
        <w:autoSpaceDN/>
        <w:bidi w:val="0"/>
        <w:adjustRightInd/>
        <w:snapToGrid/>
        <w:spacing w:line="576" w:lineRule="exact"/>
        <w:ind w:left="640" w:leftChars="0"/>
        <w:jc w:val="left"/>
        <w:textAlignment w:val="auto"/>
        <w:rPr>
          <w:rFonts w:hint="default" w:ascii="仿宋_GB2312" w:eastAsia="仿宋_GB2312"/>
          <w:sz w:val="32"/>
          <w:szCs w:val="32"/>
        </w:rPr>
      </w:pPr>
      <w:r>
        <w:rPr>
          <w:rFonts w:hint="eastAsia" w:ascii="黑体" w:eastAsia="黑体"/>
          <w:sz w:val="32"/>
          <w:szCs w:val="32"/>
        </w:rPr>
        <w:t>四、财政拨款收支预算情况说明</w:t>
      </w:r>
      <w:r>
        <w:rPr>
          <w:rFonts w:ascii="ˎ̥" w:hAnsi="ˎ̥" w:cs="宋体"/>
          <w:sz w:val="16"/>
        </w:rPr>
        <w:br w:type="textWrapping"/>
      </w:r>
      <w:r>
        <w:rPr>
          <w:rFonts w:hint="default" w:ascii="仿宋_GB2312" w:eastAsia="仿宋_GB2312" w:cs="仿宋_GB2312"/>
          <w:sz w:val="32"/>
          <w:szCs w:val="32"/>
        </w:rPr>
        <w:t>州委党校</w:t>
      </w:r>
      <w:r>
        <w:rPr>
          <w:rFonts w:hint="eastAsia" w:ascii="仿宋_GB2312" w:eastAsia="仿宋_GB2312"/>
          <w:sz w:val="32"/>
          <w:szCs w:val="32"/>
        </w:rPr>
        <w:t>202</w:t>
      </w:r>
      <w:r>
        <w:rPr>
          <w:rFonts w:ascii="仿宋_GB2312" w:eastAsia="仿宋_GB2312"/>
          <w:sz w:val="32"/>
          <w:szCs w:val="32"/>
        </w:rPr>
        <w:t>4</w:t>
      </w:r>
      <w:r>
        <w:rPr>
          <w:rFonts w:hint="eastAsia" w:ascii="仿宋_GB2312" w:eastAsia="仿宋_GB2312"/>
          <w:sz w:val="32"/>
          <w:szCs w:val="32"/>
        </w:rPr>
        <w:t>年财政拨款收支总预算</w:t>
      </w:r>
      <w:r>
        <w:rPr>
          <w:rFonts w:hint="default" w:ascii="仿宋_GB2312" w:eastAsia="仿宋_GB2312"/>
          <w:sz w:val="32"/>
          <w:szCs w:val="32"/>
        </w:rPr>
        <w:t>3090.54</w:t>
      </w:r>
      <w:r>
        <w:rPr>
          <w:rFonts w:hint="eastAsia" w:ascii="仿宋_GB2312" w:eastAsia="仿宋_GB2312"/>
          <w:sz w:val="32"/>
          <w:szCs w:val="32"/>
        </w:rPr>
        <w:t>万元,</w:t>
      </w:r>
      <w:r>
        <w:rPr>
          <w:rFonts w:hint="default" w:ascii="仿宋_GB2312" w:eastAsia="仿宋_GB2312"/>
          <w:sz w:val="32"/>
          <w:szCs w:val="32"/>
        </w:rPr>
        <w:t>较</w:t>
      </w:r>
    </w:p>
    <w:p>
      <w:pPr>
        <w:keepNext w:val="0"/>
        <w:keepLines w:val="0"/>
        <w:pageBreakBefore w:val="0"/>
        <w:kinsoku/>
        <w:wordWrap/>
        <w:overflowPunct/>
        <w:topLinePunct w:val="0"/>
        <w:autoSpaceDE/>
        <w:autoSpaceDN/>
        <w:bidi w:val="0"/>
        <w:adjustRightInd/>
        <w:snapToGrid/>
        <w:spacing w:line="576" w:lineRule="exact"/>
        <w:textAlignment w:val="auto"/>
        <w:rPr>
          <w:rFonts w:hint="default"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3</w:t>
      </w:r>
      <w:r>
        <w:rPr>
          <w:rFonts w:hint="eastAsia" w:ascii="仿宋_GB2312" w:eastAsia="仿宋_GB2312"/>
          <w:sz w:val="32"/>
          <w:szCs w:val="32"/>
        </w:rPr>
        <w:t>年财政拨款收支总预算增加</w:t>
      </w:r>
      <w:r>
        <w:rPr>
          <w:rFonts w:hint="default" w:ascii="仿宋_GB2312" w:eastAsia="仿宋_GB2312"/>
          <w:sz w:val="32"/>
          <w:szCs w:val="32"/>
        </w:rPr>
        <w:t>402.12</w:t>
      </w:r>
      <w:r>
        <w:rPr>
          <w:rFonts w:hint="eastAsia" w:ascii="仿宋_GB2312" w:eastAsia="仿宋_GB2312"/>
          <w:sz w:val="32"/>
          <w:szCs w:val="32"/>
        </w:rPr>
        <w:t>万元，主要原因:</w:t>
      </w:r>
      <w:r>
        <w:rPr>
          <w:rFonts w:hint="default" w:ascii="仿宋_GB2312" w:eastAsia="仿宋_GB2312"/>
          <w:sz w:val="32"/>
          <w:szCs w:val="32"/>
        </w:rPr>
        <w:t>是</w:t>
      </w:r>
      <w:r>
        <w:rPr>
          <w:rFonts w:hint="default" w:ascii="仿宋_GB2312" w:hAnsi="仿宋_GB2312" w:eastAsia="仿宋_GB2312" w:cs="仿宋_GB2312"/>
          <w:sz w:val="32"/>
          <w:szCs w:val="32"/>
        </w:rPr>
        <w:t>2024年增加食堂改造项目400万元。</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default" w:ascii="仿宋_GB2312" w:eastAsia="仿宋_GB2312" w:cs="仿宋_GB2312"/>
          <w:sz w:val="32"/>
          <w:szCs w:val="32"/>
        </w:rPr>
      </w:pPr>
      <w:r>
        <w:rPr>
          <w:rFonts w:hint="eastAsia" w:ascii="仿宋_GB2312" w:eastAsia="仿宋_GB2312" w:cs="仿宋_GB2312"/>
          <w:sz w:val="32"/>
          <w:szCs w:val="32"/>
        </w:rPr>
        <w:t>收入包括：</w:t>
      </w:r>
      <w:r>
        <w:rPr>
          <w:rFonts w:hint="default" w:ascii="仿宋_GB2312" w:eastAsia="仿宋_GB2312" w:cs="仿宋_GB2312"/>
          <w:sz w:val="32"/>
          <w:szCs w:val="32"/>
        </w:rPr>
        <w:t>人员工资收入、商品和服务收入和科研项目、设备购置项目以及食堂改造项目收入。</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default" w:ascii="仿宋_GB2312" w:eastAsia="仿宋_GB2312"/>
          <w:sz w:val="32"/>
          <w:szCs w:val="32"/>
        </w:rPr>
      </w:pPr>
      <w:r>
        <w:rPr>
          <w:rFonts w:hint="eastAsia" w:ascii="仿宋_GB2312" w:eastAsia="仿宋_GB2312" w:cs="仿宋_GB2312"/>
          <w:sz w:val="32"/>
          <w:szCs w:val="32"/>
        </w:rPr>
        <w:t>支出包括：</w:t>
      </w:r>
      <w:r>
        <w:rPr>
          <w:rFonts w:hint="default" w:ascii="仿宋_GB2312" w:eastAsia="仿宋_GB2312" w:cs="仿宋_GB2312"/>
          <w:sz w:val="32"/>
          <w:szCs w:val="32"/>
        </w:rPr>
        <w:t>一般公共服务支出 2408.95万元，</w:t>
      </w:r>
      <w:r>
        <w:rPr>
          <w:rFonts w:hint="default" w:ascii="仿宋_GB2312" w:hAnsi="仿宋_GB2312" w:eastAsia="仿宋_GB2312" w:cs="仿宋_GB2312"/>
          <w:sz w:val="32"/>
          <w:szCs w:val="32"/>
        </w:rPr>
        <w:t>社会保障和就业支出341.67万元，</w:t>
      </w:r>
      <w:r>
        <w:rPr>
          <w:rFonts w:hint="default" w:ascii="仿宋_GB2312" w:eastAsia="仿宋_GB2312"/>
          <w:sz w:val="32"/>
          <w:szCs w:val="32"/>
        </w:rPr>
        <w:t>卫生健康支出150.04万元，住房保障支出189.88万元。</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rPr>
      </w:pPr>
      <w:r>
        <w:rPr>
          <w:rFonts w:hint="eastAsia" w:ascii="黑体" w:eastAsia="黑体"/>
          <w:sz w:val="32"/>
          <w:szCs w:val="32"/>
        </w:rPr>
        <w:t>五、一般公共预算当年拨款情况说明</w:t>
      </w:r>
    </w:p>
    <w:p>
      <w:pPr>
        <w:pStyle w:val="13"/>
        <w:keepNext w:val="0"/>
        <w:keepLines w:val="0"/>
        <w:pageBreakBefore w:val="0"/>
        <w:kinsoku/>
        <w:wordWrap/>
        <w:overflowPunct/>
        <w:topLinePunct w:val="0"/>
        <w:autoSpaceDE/>
        <w:autoSpaceDN/>
        <w:bidi w:val="0"/>
        <w:adjustRightInd/>
        <w:snapToGrid/>
        <w:spacing w:before="0" w:line="576" w:lineRule="exact"/>
        <w:ind w:firstLine="660"/>
        <w:textAlignment w:val="auto"/>
        <w:rPr>
          <w:rFonts w:hint="eastAsia" w:ascii="楷体_GB2312" w:hAnsi="楷体_GB2312" w:eastAsia="楷体_GB2312" w:cs="楷体_GB2312"/>
          <w:b/>
          <w:bCs/>
          <w:kern w:val="2"/>
          <w:sz w:val="32"/>
          <w:szCs w:val="32"/>
        </w:rPr>
      </w:pPr>
      <w:r>
        <w:rPr>
          <w:rFonts w:hint="eastAsia" w:ascii="楷体_GB2312" w:hAnsi="楷体_GB2312" w:eastAsia="楷体_GB2312" w:cs="楷体_GB2312"/>
          <w:b/>
          <w:bCs/>
          <w:kern w:val="2"/>
          <w:sz w:val="32"/>
          <w:szCs w:val="32"/>
        </w:rPr>
        <w:t>（一）一般公共预算当年拨款规模变化情况</w:t>
      </w:r>
    </w:p>
    <w:p>
      <w:pPr>
        <w:pStyle w:val="13"/>
        <w:keepNext w:val="0"/>
        <w:keepLines w:val="0"/>
        <w:pageBreakBefore w:val="0"/>
        <w:kinsoku/>
        <w:wordWrap/>
        <w:overflowPunct/>
        <w:topLinePunct w:val="0"/>
        <w:autoSpaceDE/>
        <w:autoSpaceDN/>
        <w:bidi w:val="0"/>
        <w:adjustRightInd/>
        <w:snapToGrid/>
        <w:spacing w:before="0" w:line="576" w:lineRule="exact"/>
        <w:ind w:firstLine="660"/>
        <w:textAlignment w:val="auto"/>
        <w:rPr>
          <w:rFonts w:cs="仿宋_GB2312"/>
          <w:kern w:val="2"/>
          <w:sz w:val="32"/>
          <w:szCs w:val="32"/>
        </w:rPr>
      </w:pPr>
      <w:r>
        <w:rPr>
          <w:rFonts w:hint="default" w:cs="宋体"/>
          <w:sz w:val="32"/>
          <w:szCs w:val="32"/>
        </w:rPr>
        <w:t>州委党校</w:t>
      </w:r>
      <w:r>
        <w:rPr>
          <w:rFonts w:hint="eastAsia" w:cs="宋体"/>
          <w:sz w:val="32"/>
          <w:szCs w:val="32"/>
        </w:rPr>
        <w:t>202</w:t>
      </w:r>
      <w:r>
        <w:rPr>
          <w:rFonts w:cs="宋体"/>
          <w:sz w:val="32"/>
          <w:szCs w:val="32"/>
        </w:rPr>
        <w:t>4</w:t>
      </w:r>
      <w:r>
        <w:rPr>
          <w:rFonts w:hint="eastAsia" w:cs="宋体"/>
          <w:sz w:val="32"/>
          <w:szCs w:val="32"/>
        </w:rPr>
        <w:t>年一般公共预算当年拨款</w:t>
      </w:r>
      <w:r>
        <w:rPr>
          <w:rFonts w:hint="default" w:cs="宋体"/>
          <w:sz w:val="32"/>
          <w:szCs w:val="32"/>
        </w:rPr>
        <w:t>3090.54</w:t>
      </w:r>
      <w:r>
        <w:rPr>
          <w:rFonts w:hint="eastAsia" w:cs="宋体"/>
          <w:sz w:val="32"/>
          <w:szCs w:val="32"/>
        </w:rPr>
        <w:t>万元，比202</w:t>
      </w:r>
      <w:r>
        <w:rPr>
          <w:rFonts w:cs="宋体"/>
          <w:sz w:val="32"/>
          <w:szCs w:val="32"/>
        </w:rPr>
        <w:t>3</w:t>
      </w:r>
      <w:r>
        <w:rPr>
          <w:rFonts w:hint="eastAsia" w:cs="宋体"/>
          <w:sz w:val="32"/>
          <w:szCs w:val="32"/>
        </w:rPr>
        <w:t>年预算数增加</w:t>
      </w:r>
      <w:r>
        <w:rPr>
          <w:rFonts w:hint="default" w:cs="宋体"/>
          <w:sz w:val="32"/>
          <w:szCs w:val="32"/>
        </w:rPr>
        <w:t>402.12</w:t>
      </w:r>
      <w:r>
        <w:rPr>
          <w:rFonts w:hint="eastAsia" w:cs="宋体"/>
          <w:sz w:val="32"/>
          <w:szCs w:val="32"/>
        </w:rPr>
        <w:t>万元，主要原因:</w:t>
      </w:r>
      <w:r>
        <w:rPr>
          <w:rFonts w:hint="default" w:cs="宋体"/>
          <w:sz w:val="32"/>
          <w:szCs w:val="32"/>
        </w:rPr>
        <w:t>2024年新增培训食堂改造项目400万元。</w:t>
      </w:r>
      <w:r>
        <w:rPr>
          <w:rFonts w:hint="eastAsia" w:cs="仿宋_GB2312"/>
          <w:kern w:val="2"/>
          <w:sz w:val="32"/>
          <w:szCs w:val="32"/>
        </w:rPr>
        <w:t>　　</w:t>
      </w:r>
    </w:p>
    <w:p>
      <w:pPr>
        <w:pStyle w:val="13"/>
        <w:keepNext w:val="0"/>
        <w:keepLines w:val="0"/>
        <w:pageBreakBefore w:val="0"/>
        <w:kinsoku/>
        <w:wordWrap/>
        <w:overflowPunct/>
        <w:topLinePunct w:val="0"/>
        <w:autoSpaceDE/>
        <w:autoSpaceDN/>
        <w:bidi w:val="0"/>
        <w:adjustRightInd/>
        <w:snapToGrid/>
        <w:spacing w:before="0" w:line="576" w:lineRule="exact"/>
        <w:ind w:firstLine="660"/>
        <w:textAlignment w:val="auto"/>
        <w:rPr>
          <w:rFonts w:hint="eastAsia" w:ascii="楷体_GB2312" w:hAnsi="楷体_GB2312" w:eastAsia="楷体_GB2312" w:cs="楷体_GB2312"/>
          <w:b/>
          <w:bCs/>
          <w:kern w:val="2"/>
          <w:sz w:val="32"/>
          <w:szCs w:val="32"/>
        </w:rPr>
      </w:pPr>
      <w:r>
        <w:rPr>
          <w:rFonts w:hint="default" w:ascii="楷体_GB2312" w:hAnsi="楷体_GB2312" w:eastAsia="楷体_GB2312" w:cs="楷体_GB2312"/>
          <w:b/>
          <w:bCs/>
          <w:kern w:val="2"/>
          <w:sz w:val="32"/>
          <w:szCs w:val="32"/>
        </w:rPr>
        <w:t>（二）</w:t>
      </w:r>
      <w:r>
        <w:rPr>
          <w:rFonts w:hint="eastAsia" w:ascii="楷体_GB2312" w:hAnsi="楷体_GB2312" w:eastAsia="楷体_GB2312" w:cs="楷体_GB2312"/>
          <w:b/>
          <w:bCs/>
          <w:kern w:val="2"/>
          <w:sz w:val="32"/>
          <w:szCs w:val="32"/>
        </w:rPr>
        <w:t>一般公共预算当年拨款结构情况</w:t>
      </w:r>
    </w:p>
    <w:p>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仿宋_GB2312" w:eastAsia="仿宋_GB2312"/>
          <w:sz w:val="32"/>
          <w:szCs w:val="32"/>
        </w:rPr>
      </w:pPr>
      <w:r>
        <w:rPr>
          <w:rFonts w:hint="default" w:ascii="仿宋_GB2312" w:eastAsia="仿宋_GB2312" w:cs="仿宋_GB2312"/>
          <w:sz w:val="32"/>
          <w:szCs w:val="32"/>
        </w:rPr>
        <w:t>一般公共服务支出 2408.95万元，</w:t>
      </w:r>
      <w:r>
        <w:rPr>
          <w:rFonts w:hint="eastAsia" w:ascii="仿宋_GB2312" w:eastAsia="仿宋_GB2312" w:cs="仿宋_GB2312"/>
          <w:sz w:val="32"/>
          <w:szCs w:val="32"/>
        </w:rPr>
        <w:t>占</w:t>
      </w:r>
      <w:r>
        <w:rPr>
          <w:rFonts w:hint="default" w:ascii="仿宋_GB2312" w:eastAsia="仿宋_GB2312" w:cs="仿宋_GB2312"/>
          <w:sz w:val="32"/>
          <w:szCs w:val="32"/>
        </w:rPr>
        <w:t>77.94</w:t>
      </w:r>
      <w:r>
        <w:rPr>
          <w:rFonts w:hint="eastAsia" w:ascii="仿宋_GB2312" w:eastAsia="仿宋_GB2312" w:cs="仿宋_GB2312"/>
          <w:sz w:val="32"/>
          <w:szCs w:val="32"/>
        </w:rPr>
        <w:t>%</w:t>
      </w:r>
      <w:r>
        <w:rPr>
          <w:rFonts w:hint="default" w:ascii="仿宋_GB2312" w:eastAsia="仿宋_GB2312" w:cs="仿宋_GB2312"/>
          <w:sz w:val="32"/>
          <w:szCs w:val="32"/>
        </w:rPr>
        <w:t>;</w:t>
      </w:r>
      <w:bookmarkStart w:id="0" w:name="_GoBack"/>
      <w:bookmarkEnd w:id="0"/>
      <w:r>
        <w:rPr>
          <w:rFonts w:hint="default" w:ascii="仿宋_GB2312" w:hAnsi="仿宋_GB2312" w:eastAsia="仿宋_GB2312" w:cs="仿宋_GB2312"/>
          <w:sz w:val="32"/>
          <w:szCs w:val="32"/>
        </w:rPr>
        <w:t>社会保障和就业支出341.67万元，占11.05%;</w:t>
      </w:r>
      <w:r>
        <w:rPr>
          <w:rFonts w:hint="default" w:ascii="仿宋_GB2312" w:eastAsia="仿宋_GB2312"/>
          <w:sz w:val="32"/>
          <w:szCs w:val="32"/>
        </w:rPr>
        <w:t>卫生健康支出150.04万元，占4.87%；住房保障支出189.88万元，占6.14%。</w:t>
      </w:r>
    </w:p>
    <w:p>
      <w:pPr>
        <w:pStyle w:val="13"/>
        <w:keepNext w:val="0"/>
        <w:keepLines w:val="0"/>
        <w:pageBreakBefore w:val="0"/>
        <w:numPr>
          <w:ilvl w:val="0"/>
          <w:numId w:val="0"/>
        </w:numPr>
        <w:kinsoku/>
        <w:wordWrap/>
        <w:overflowPunct/>
        <w:topLinePunct w:val="0"/>
        <w:autoSpaceDE/>
        <w:autoSpaceDN/>
        <w:bidi w:val="0"/>
        <w:adjustRightInd/>
        <w:snapToGrid/>
        <w:spacing w:before="0" w:line="576" w:lineRule="exact"/>
        <w:ind w:leftChars="304"/>
        <w:textAlignment w:val="auto"/>
        <w:rPr>
          <w:rFonts w:hint="eastAsia" w:ascii="楷体_GB2312" w:hAnsi="楷体_GB2312" w:eastAsia="楷体_GB2312" w:cs="楷体_GB2312"/>
          <w:b/>
          <w:bCs/>
          <w:kern w:val="2"/>
          <w:sz w:val="32"/>
          <w:szCs w:val="32"/>
        </w:rPr>
      </w:pPr>
      <w:r>
        <w:rPr>
          <w:rFonts w:hint="default" w:ascii="楷体_GB2312" w:hAnsi="楷体_GB2312" w:eastAsia="楷体_GB2312" w:cs="楷体_GB2312"/>
          <w:b/>
          <w:bCs/>
          <w:kern w:val="2"/>
          <w:sz w:val="32"/>
          <w:szCs w:val="32"/>
        </w:rPr>
        <w:t>（三）</w:t>
      </w:r>
      <w:r>
        <w:rPr>
          <w:rFonts w:hint="eastAsia" w:ascii="楷体_GB2312" w:hAnsi="楷体_GB2312" w:eastAsia="楷体_GB2312" w:cs="楷体_GB2312"/>
          <w:b/>
          <w:bCs/>
          <w:kern w:val="2"/>
          <w:sz w:val="32"/>
          <w:szCs w:val="32"/>
        </w:rPr>
        <w:t>一般公共预算当年拨款具体使用情况</w:t>
      </w:r>
    </w:p>
    <w:p>
      <w:pPr>
        <w:pStyle w:val="13"/>
        <w:keepNext w:val="0"/>
        <w:keepLines w:val="0"/>
        <w:pageBreakBefore w:val="0"/>
        <w:numPr>
          <w:ilvl w:val="0"/>
          <w:numId w:val="0"/>
        </w:numPr>
        <w:kinsoku/>
        <w:wordWrap/>
        <w:overflowPunct/>
        <w:topLinePunct w:val="0"/>
        <w:autoSpaceDE/>
        <w:autoSpaceDN/>
        <w:bidi w:val="0"/>
        <w:adjustRightInd/>
        <w:snapToGrid/>
        <w:spacing w:before="0" w:line="576" w:lineRule="exact"/>
        <w:ind w:firstLine="640" w:firstLineChars="200"/>
        <w:textAlignment w:val="auto"/>
        <w:rPr>
          <w:rFonts w:hint="default" w:ascii="仿宋_GB2312" w:hAnsi="Calibri" w:eastAsia="仿宋_GB2312" w:cs="Times New Roman"/>
          <w:kern w:val="2"/>
          <w:sz w:val="32"/>
          <w:szCs w:val="32"/>
          <w:lang w:eastAsia="zh-CN" w:bidi="ar-SA"/>
        </w:rPr>
      </w:pPr>
      <w:r>
        <w:rPr>
          <w:rFonts w:hint="default" w:ascii="仿宋_GB2312" w:hAnsi="Calibri" w:eastAsia="仿宋_GB2312" w:cs="Times New Roman"/>
          <w:kern w:val="2"/>
          <w:sz w:val="32"/>
          <w:szCs w:val="32"/>
          <w:lang w:eastAsia="zh-CN" w:bidi="ar-SA"/>
        </w:rPr>
        <w:t>具体使用情况为：工资福利支出2070.3</w:t>
      </w:r>
      <w:r>
        <w:rPr>
          <w:rFonts w:hint="default" w:cs="Times New Roman"/>
          <w:kern w:val="2"/>
          <w:sz w:val="32"/>
          <w:szCs w:val="32"/>
          <w:lang w:eastAsia="zh-CN" w:bidi="ar-SA"/>
        </w:rPr>
        <w:t>3</w:t>
      </w:r>
      <w:r>
        <w:rPr>
          <w:rFonts w:hint="default" w:ascii="仿宋_GB2312" w:hAnsi="Calibri" w:eastAsia="仿宋_GB2312" w:cs="Times New Roman"/>
          <w:kern w:val="2"/>
          <w:sz w:val="32"/>
          <w:szCs w:val="32"/>
          <w:lang w:eastAsia="zh-CN" w:bidi="ar-SA"/>
        </w:rPr>
        <w:t>万元,商品和服务支出360.8万元，对个人和家庭的补助支出171.61万元。</w:t>
      </w:r>
      <w:r>
        <w:rPr>
          <w:rFonts w:hint="default" w:cs="Times New Roman"/>
          <w:kern w:val="2"/>
          <w:sz w:val="32"/>
          <w:szCs w:val="32"/>
          <w:lang w:eastAsia="zh-CN" w:bidi="ar-SA"/>
        </w:rPr>
        <w:t>项目支出487.8万元。</w:t>
      </w:r>
    </w:p>
    <w:p>
      <w:pPr>
        <w:pStyle w:val="13"/>
        <w:keepNext w:val="0"/>
        <w:keepLines w:val="0"/>
        <w:pageBreakBefore w:val="0"/>
        <w:kinsoku/>
        <w:wordWrap/>
        <w:overflowPunct/>
        <w:topLinePunct w:val="0"/>
        <w:autoSpaceDE/>
        <w:autoSpaceDN/>
        <w:bidi w:val="0"/>
        <w:adjustRightInd/>
        <w:snapToGrid/>
        <w:spacing w:before="0" w:line="576" w:lineRule="exact"/>
        <w:ind w:firstLine="660"/>
        <w:textAlignment w:val="auto"/>
        <w:rPr>
          <w:rFonts w:ascii="黑体" w:eastAsia="黑体"/>
          <w:sz w:val="32"/>
          <w:szCs w:val="32"/>
        </w:rPr>
      </w:pPr>
      <w:r>
        <w:rPr>
          <w:rFonts w:hint="eastAsia" w:ascii="黑体" w:eastAsia="黑体"/>
          <w:sz w:val="32"/>
          <w:szCs w:val="32"/>
        </w:rPr>
        <w:t>六、一般公共预算基本支出情况说明</w:t>
      </w:r>
    </w:p>
    <w:p>
      <w:pPr>
        <w:pStyle w:val="13"/>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cs="仿宋_GB2312"/>
          <w:kern w:val="2"/>
          <w:sz w:val="32"/>
          <w:szCs w:val="32"/>
        </w:rPr>
      </w:pPr>
      <w:r>
        <w:rPr>
          <w:rFonts w:hint="eastAsia" w:cs="仿宋_GB2312"/>
          <w:kern w:val="2"/>
          <w:sz w:val="32"/>
          <w:szCs w:val="32"/>
        </w:rPr>
        <w:t>202</w:t>
      </w:r>
      <w:r>
        <w:rPr>
          <w:rFonts w:cs="仿宋_GB2312"/>
          <w:kern w:val="2"/>
          <w:sz w:val="32"/>
          <w:szCs w:val="32"/>
        </w:rPr>
        <w:t>4</w:t>
      </w:r>
      <w:r>
        <w:rPr>
          <w:rFonts w:hint="eastAsia" w:cs="仿宋_GB2312"/>
          <w:kern w:val="2"/>
          <w:sz w:val="32"/>
          <w:szCs w:val="32"/>
        </w:rPr>
        <w:t>年一般公共预算基本支出</w:t>
      </w:r>
      <w:r>
        <w:rPr>
          <w:rFonts w:hint="default" w:cs="仿宋_GB2312"/>
          <w:kern w:val="2"/>
          <w:sz w:val="32"/>
          <w:szCs w:val="32"/>
        </w:rPr>
        <w:t>2602.74</w:t>
      </w:r>
      <w:r>
        <w:rPr>
          <w:rFonts w:hint="eastAsia" w:cs="仿宋_GB2312"/>
          <w:kern w:val="2"/>
          <w:sz w:val="32"/>
          <w:szCs w:val="32"/>
        </w:rPr>
        <w:t>万元，其中：人员经费</w:t>
      </w:r>
      <w:r>
        <w:rPr>
          <w:rFonts w:hint="default" w:cs="仿宋_GB2312"/>
          <w:kern w:val="2"/>
          <w:sz w:val="32"/>
          <w:szCs w:val="32"/>
        </w:rPr>
        <w:t>2244.19</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3"/>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ascii="黑体" w:eastAsia="黑体"/>
          <w:sz w:val="32"/>
          <w:szCs w:val="32"/>
        </w:rPr>
      </w:pPr>
      <w:r>
        <w:rPr>
          <w:rFonts w:hint="eastAsia" w:cs="仿宋_GB2312"/>
          <w:kern w:val="2"/>
          <w:sz w:val="32"/>
          <w:szCs w:val="32"/>
        </w:rPr>
        <w:t>公用经费</w:t>
      </w:r>
      <w:r>
        <w:rPr>
          <w:rFonts w:hint="default" w:cs="仿宋_GB2312"/>
          <w:kern w:val="2"/>
          <w:sz w:val="32"/>
          <w:szCs w:val="32"/>
        </w:rPr>
        <w:t>358.55</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3"/>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cs="仿宋_GB2312"/>
          <w:kern w:val="2"/>
          <w:sz w:val="32"/>
          <w:szCs w:val="32"/>
        </w:rPr>
      </w:pPr>
      <w:r>
        <w:rPr>
          <w:rFonts w:hint="default" w:cs="仿宋_GB2312"/>
          <w:kern w:val="2"/>
          <w:sz w:val="32"/>
          <w:szCs w:val="32"/>
        </w:rPr>
        <w:t>州委党校</w:t>
      </w:r>
      <w:r>
        <w:rPr>
          <w:rFonts w:hint="eastAsia" w:cs="仿宋_GB2312"/>
          <w:kern w:val="2"/>
          <w:sz w:val="32"/>
          <w:szCs w:val="32"/>
        </w:rPr>
        <w:t>202</w:t>
      </w:r>
      <w:r>
        <w:rPr>
          <w:rFonts w:cs="仿宋_GB2312"/>
          <w:kern w:val="2"/>
          <w:sz w:val="32"/>
          <w:szCs w:val="32"/>
        </w:rPr>
        <w:t>4</w:t>
      </w:r>
      <w:r>
        <w:rPr>
          <w:rFonts w:hint="eastAsia" w:cs="仿宋_GB2312"/>
          <w:kern w:val="2"/>
          <w:sz w:val="32"/>
          <w:szCs w:val="32"/>
        </w:rPr>
        <w:t>年“三公”经费财政拨款预算数</w:t>
      </w:r>
      <w:r>
        <w:rPr>
          <w:rFonts w:hint="default" w:cs="仿宋_GB2312"/>
          <w:kern w:val="2"/>
          <w:sz w:val="32"/>
          <w:szCs w:val="32"/>
        </w:rPr>
        <w:t>55.78</w:t>
      </w:r>
      <w:r>
        <w:rPr>
          <w:rFonts w:hint="eastAsia" w:cs="仿宋_GB2312"/>
          <w:kern w:val="2"/>
          <w:sz w:val="32"/>
          <w:szCs w:val="32"/>
        </w:rPr>
        <w:t>万元，其中：因公出国（境）经费</w:t>
      </w:r>
      <w:r>
        <w:rPr>
          <w:rFonts w:hint="default" w:cs="仿宋_GB2312"/>
          <w:kern w:val="2"/>
          <w:sz w:val="32"/>
          <w:szCs w:val="32"/>
        </w:rPr>
        <w:t>0</w:t>
      </w:r>
      <w:r>
        <w:rPr>
          <w:rFonts w:hint="eastAsia" w:cs="仿宋_GB2312"/>
          <w:kern w:val="2"/>
          <w:sz w:val="32"/>
          <w:szCs w:val="32"/>
        </w:rPr>
        <w:t>万元，公务接待费</w:t>
      </w:r>
      <w:r>
        <w:rPr>
          <w:rFonts w:hint="default" w:cs="仿宋_GB2312"/>
          <w:kern w:val="2"/>
          <w:sz w:val="32"/>
          <w:szCs w:val="32"/>
        </w:rPr>
        <w:t>5.38</w:t>
      </w:r>
      <w:r>
        <w:rPr>
          <w:rFonts w:hint="eastAsia" w:cs="仿宋_GB2312"/>
          <w:kern w:val="2"/>
          <w:sz w:val="32"/>
          <w:szCs w:val="32"/>
        </w:rPr>
        <w:t>万元，公务用车购置及运行维护费</w:t>
      </w:r>
      <w:r>
        <w:rPr>
          <w:rFonts w:hint="default" w:cs="仿宋_GB2312"/>
          <w:kern w:val="2"/>
          <w:sz w:val="32"/>
          <w:szCs w:val="32"/>
        </w:rPr>
        <w:t>50.4</w:t>
      </w:r>
      <w:r>
        <w:rPr>
          <w:rFonts w:hint="eastAsia" w:cs="仿宋_GB2312"/>
          <w:kern w:val="2"/>
          <w:sz w:val="32"/>
          <w:szCs w:val="32"/>
        </w:rPr>
        <w:t>万元。</w:t>
      </w:r>
    </w:p>
    <w:p>
      <w:pPr>
        <w:pStyle w:val="13"/>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cs="仿宋_GB2312"/>
          <w:kern w:val="2"/>
          <w:sz w:val="32"/>
          <w:szCs w:val="32"/>
        </w:rPr>
      </w:pPr>
      <w:r>
        <w:rPr>
          <w:rFonts w:hint="eastAsia" w:cs="仿宋_GB2312"/>
          <w:kern w:val="2"/>
          <w:sz w:val="32"/>
          <w:szCs w:val="32"/>
        </w:rPr>
        <w:t>（一）202</w:t>
      </w:r>
      <w:r>
        <w:rPr>
          <w:rFonts w:cs="仿宋_GB2312"/>
          <w:kern w:val="2"/>
          <w:sz w:val="32"/>
          <w:szCs w:val="32"/>
        </w:rPr>
        <w:t>4</w:t>
      </w:r>
      <w:r>
        <w:rPr>
          <w:rFonts w:hint="eastAsia" w:cs="仿宋_GB2312"/>
          <w:kern w:val="2"/>
          <w:sz w:val="32"/>
          <w:szCs w:val="32"/>
        </w:rPr>
        <w:t>年因公出国（境）经费</w:t>
      </w:r>
      <w:r>
        <w:rPr>
          <w:rFonts w:hint="default" w:cs="仿宋_GB2312"/>
          <w:kern w:val="2"/>
          <w:sz w:val="32"/>
          <w:szCs w:val="32"/>
        </w:rPr>
        <w:t>0</w:t>
      </w:r>
      <w:r>
        <w:rPr>
          <w:rFonts w:hint="eastAsia" w:cs="仿宋_GB2312"/>
          <w:kern w:val="2"/>
          <w:sz w:val="32"/>
          <w:szCs w:val="32"/>
        </w:rPr>
        <w:t>万元。</w:t>
      </w:r>
    </w:p>
    <w:p>
      <w:pPr>
        <w:pStyle w:val="13"/>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default"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w:t>
      </w:r>
      <w:r>
        <w:rPr>
          <w:rFonts w:cs="仿宋_GB2312"/>
          <w:color w:val="000000"/>
          <w:kern w:val="2"/>
          <w:sz w:val="32"/>
          <w:szCs w:val="32"/>
        </w:rPr>
        <w:t>4</w:t>
      </w:r>
      <w:r>
        <w:rPr>
          <w:rFonts w:hint="eastAsia" w:cs="仿宋_GB2312"/>
          <w:color w:val="000000"/>
          <w:kern w:val="2"/>
          <w:sz w:val="32"/>
          <w:szCs w:val="32"/>
        </w:rPr>
        <w:t>年公务接待经费</w:t>
      </w:r>
      <w:r>
        <w:rPr>
          <w:rFonts w:hint="default" w:cs="仿宋_GB2312"/>
          <w:color w:val="000000"/>
          <w:kern w:val="2"/>
          <w:sz w:val="32"/>
          <w:szCs w:val="32"/>
        </w:rPr>
        <w:t>5.38</w:t>
      </w:r>
      <w:r>
        <w:rPr>
          <w:rFonts w:hint="eastAsia" w:cs="仿宋_GB2312"/>
          <w:color w:val="000000"/>
          <w:kern w:val="2"/>
          <w:sz w:val="32"/>
          <w:szCs w:val="32"/>
        </w:rPr>
        <w:t>万元。较202</w:t>
      </w:r>
      <w:r>
        <w:rPr>
          <w:rFonts w:cs="仿宋_GB2312"/>
          <w:color w:val="000000"/>
          <w:kern w:val="2"/>
          <w:sz w:val="32"/>
          <w:szCs w:val="32"/>
        </w:rPr>
        <w:t>3</w:t>
      </w:r>
      <w:r>
        <w:rPr>
          <w:rFonts w:hint="eastAsia" w:cs="仿宋_GB2312"/>
          <w:color w:val="000000"/>
          <w:kern w:val="2"/>
          <w:sz w:val="32"/>
          <w:szCs w:val="32"/>
        </w:rPr>
        <w:t>年预算经费</w:t>
      </w:r>
      <w:r>
        <w:rPr>
          <w:rFonts w:hint="default" w:cs="仿宋_GB2312"/>
          <w:color w:val="000000"/>
          <w:kern w:val="2"/>
          <w:sz w:val="32"/>
          <w:szCs w:val="32"/>
        </w:rPr>
        <w:t>减少0.02</w:t>
      </w:r>
      <w:r>
        <w:rPr>
          <w:rFonts w:hint="eastAsia" w:cs="仿宋_GB2312"/>
          <w:color w:val="000000"/>
          <w:kern w:val="2"/>
          <w:sz w:val="32"/>
          <w:szCs w:val="32"/>
        </w:rPr>
        <w:t>万元，主要原因</w:t>
      </w:r>
      <w:r>
        <w:rPr>
          <w:rFonts w:hint="default" w:cs="仿宋_GB2312"/>
          <w:color w:val="000000"/>
          <w:kern w:val="2"/>
          <w:sz w:val="32"/>
          <w:szCs w:val="32"/>
        </w:rPr>
        <w:t>是单位坚持厉行节约、过紧日子原则。</w:t>
      </w:r>
    </w:p>
    <w:p>
      <w:pPr>
        <w:pStyle w:val="13"/>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default" w:cs="仿宋_GB2312"/>
          <w:color w:val="000000"/>
          <w:kern w:val="2"/>
          <w:sz w:val="32"/>
          <w:szCs w:val="32"/>
        </w:rPr>
      </w:pPr>
      <w:r>
        <w:rPr>
          <w:rFonts w:hint="eastAsia" w:cs="仿宋_GB2312"/>
          <w:color w:val="000000"/>
          <w:kern w:val="2"/>
          <w:sz w:val="32"/>
          <w:szCs w:val="32"/>
        </w:rPr>
        <w:t>（三）202</w:t>
      </w:r>
      <w:r>
        <w:rPr>
          <w:rFonts w:cs="仿宋_GB2312"/>
          <w:color w:val="000000"/>
          <w:kern w:val="2"/>
          <w:sz w:val="32"/>
          <w:szCs w:val="32"/>
        </w:rPr>
        <w:t>4</w:t>
      </w:r>
      <w:r>
        <w:rPr>
          <w:rFonts w:hint="eastAsia" w:cs="仿宋_GB2312"/>
          <w:color w:val="000000"/>
          <w:kern w:val="2"/>
          <w:sz w:val="32"/>
          <w:szCs w:val="32"/>
        </w:rPr>
        <w:t>年公务用车购置及运行维护费</w:t>
      </w:r>
      <w:r>
        <w:rPr>
          <w:rFonts w:hint="default" w:cs="仿宋_GB2312"/>
          <w:color w:val="000000"/>
          <w:kern w:val="2"/>
          <w:sz w:val="32"/>
          <w:szCs w:val="32"/>
        </w:rPr>
        <w:t>50.4</w:t>
      </w:r>
      <w:r>
        <w:rPr>
          <w:rFonts w:hint="eastAsia" w:cs="仿宋_GB2312"/>
          <w:color w:val="000000"/>
          <w:kern w:val="2"/>
          <w:sz w:val="32"/>
          <w:szCs w:val="32"/>
        </w:rPr>
        <w:t>万元。较202</w:t>
      </w:r>
      <w:r>
        <w:rPr>
          <w:rFonts w:cs="仿宋_GB2312"/>
          <w:color w:val="000000"/>
          <w:kern w:val="2"/>
          <w:sz w:val="32"/>
          <w:szCs w:val="32"/>
        </w:rPr>
        <w:t>3</w:t>
      </w:r>
      <w:r>
        <w:rPr>
          <w:rFonts w:hint="eastAsia" w:cs="仿宋_GB2312"/>
          <w:color w:val="000000"/>
          <w:kern w:val="2"/>
          <w:sz w:val="32"/>
          <w:szCs w:val="32"/>
        </w:rPr>
        <w:t>年预算经费减少</w:t>
      </w:r>
      <w:r>
        <w:rPr>
          <w:rFonts w:hint="default" w:cs="仿宋_GB2312"/>
          <w:color w:val="000000"/>
          <w:kern w:val="2"/>
          <w:sz w:val="32"/>
          <w:szCs w:val="32"/>
        </w:rPr>
        <w:t>8</w:t>
      </w:r>
      <w:r>
        <w:rPr>
          <w:rFonts w:hint="eastAsia" w:cs="仿宋_GB2312"/>
          <w:color w:val="000000"/>
          <w:kern w:val="2"/>
          <w:sz w:val="32"/>
          <w:szCs w:val="32"/>
        </w:rPr>
        <w:t>万元，主要原因</w:t>
      </w:r>
      <w:r>
        <w:rPr>
          <w:rFonts w:hint="default" w:cs="仿宋_GB2312"/>
          <w:color w:val="000000"/>
          <w:kern w:val="2"/>
          <w:sz w:val="32"/>
          <w:szCs w:val="32"/>
        </w:rPr>
        <w:t>是2024年无车辆大修费用。</w:t>
      </w:r>
    </w:p>
    <w:p>
      <w:pPr>
        <w:pStyle w:val="13"/>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3"/>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default" w:cs="仿宋_GB2312"/>
          <w:kern w:val="2"/>
          <w:sz w:val="32"/>
          <w:szCs w:val="32"/>
        </w:rPr>
      </w:pPr>
      <w:r>
        <w:rPr>
          <w:rFonts w:hint="default" w:cs="仿宋_GB2312"/>
          <w:kern w:val="2"/>
          <w:sz w:val="32"/>
          <w:szCs w:val="32"/>
        </w:rPr>
        <w:t>州委党校</w:t>
      </w:r>
      <w:r>
        <w:rPr>
          <w:rFonts w:hint="eastAsia" w:cs="仿宋_GB2312"/>
          <w:kern w:val="2"/>
          <w:sz w:val="32"/>
          <w:szCs w:val="32"/>
        </w:rPr>
        <w:t>202</w:t>
      </w:r>
      <w:r>
        <w:rPr>
          <w:rFonts w:cs="仿宋_GB2312"/>
          <w:kern w:val="2"/>
          <w:sz w:val="32"/>
          <w:szCs w:val="32"/>
        </w:rPr>
        <w:t>4</w:t>
      </w:r>
      <w:r>
        <w:rPr>
          <w:rFonts w:hint="eastAsia" w:cs="仿宋_GB2312"/>
          <w:kern w:val="2"/>
          <w:sz w:val="32"/>
          <w:szCs w:val="32"/>
        </w:rPr>
        <w:t>年</w:t>
      </w:r>
      <w:r>
        <w:rPr>
          <w:rFonts w:hint="default" w:cs="仿宋_GB2312"/>
          <w:kern w:val="2"/>
          <w:sz w:val="32"/>
          <w:szCs w:val="32"/>
        </w:rPr>
        <w:t>未安排</w:t>
      </w:r>
      <w:r>
        <w:rPr>
          <w:rFonts w:hint="eastAsia" w:cs="仿宋_GB2312"/>
          <w:kern w:val="2"/>
          <w:sz w:val="32"/>
          <w:szCs w:val="32"/>
        </w:rPr>
        <w:t>政府性基金预算拨款</w:t>
      </w:r>
      <w:r>
        <w:rPr>
          <w:rFonts w:hint="default" w:cs="仿宋_GB2312"/>
          <w:kern w:val="2"/>
          <w:sz w:val="32"/>
          <w:szCs w:val="32"/>
        </w:rPr>
        <w:t>。</w:t>
      </w:r>
    </w:p>
    <w:p>
      <w:pPr>
        <w:pStyle w:val="13"/>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ascii="黑体" w:eastAsia="黑体"/>
          <w:sz w:val="32"/>
          <w:szCs w:val="32"/>
        </w:rPr>
      </w:pPr>
      <w:r>
        <w:rPr>
          <w:rFonts w:hint="eastAsia" w:ascii="黑体" w:eastAsia="黑体"/>
          <w:sz w:val="32"/>
          <w:szCs w:val="32"/>
        </w:rPr>
        <w:t>九、其他重要事项的情况说明</w:t>
      </w:r>
    </w:p>
    <w:p>
      <w:pPr>
        <w:pStyle w:val="13"/>
        <w:keepNext w:val="0"/>
        <w:keepLines w:val="0"/>
        <w:pageBreakBefore w:val="0"/>
        <w:kinsoku/>
        <w:wordWrap/>
        <w:overflowPunct/>
        <w:topLinePunct w:val="0"/>
        <w:autoSpaceDE/>
        <w:autoSpaceDN/>
        <w:bidi w:val="0"/>
        <w:adjustRightInd/>
        <w:snapToGrid/>
        <w:spacing w:before="0" w:line="576" w:lineRule="exact"/>
        <w:ind w:firstLine="642" w:firstLineChars="200"/>
        <w:textAlignment w:val="auto"/>
        <w:rPr>
          <w:rFonts w:cs="仿宋_GB2312"/>
          <w:color w:val="FF0000"/>
          <w:kern w:val="2"/>
          <w:sz w:val="32"/>
          <w:szCs w:val="32"/>
        </w:rPr>
      </w:pPr>
      <w:r>
        <w:rPr>
          <w:rFonts w:hint="eastAsia" w:ascii="楷体_GB2312" w:hAnsi="楷体_GB2312" w:eastAsia="楷体_GB2312" w:cs="楷体_GB2312"/>
          <w:b/>
          <w:bCs/>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default" w:cs="仿宋_GB2312"/>
          <w:kern w:val="2"/>
          <w:sz w:val="32"/>
          <w:szCs w:val="32"/>
        </w:rPr>
        <w:t>州委党</w:t>
      </w:r>
      <w:r>
        <w:rPr>
          <w:rFonts w:hint="default" w:cs="仿宋_GB2312"/>
          <w:sz w:val="32"/>
          <w:szCs w:val="32"/>
        </w:rPr>
        <w:t>校属于公益一类事业单位，2024年未安排机关运行经费。</w:t>
      </w:r>
    </w:p>
    <w:p>
      <w:pPr>
        <w:pStyle w:val="13"/>
        <w:keepNext w:val="0"/>
        <w:keepLines w:val="0"/>
        <w:pageBreakBefore w:val="0"/>
        <w:kinsoku/>
        <w:wordWrap/>
        <w:overflowPunct/>
        <w:topLinePunct w:val="0"/>
        <w:autoSpaceDE/>
        <w:autoSpaceDN/>
        <w:bidi w:val="0"/>
        <w:adjustRightInd/>
        <w:snapToGrid/>
        <w:spacing w:before="0" w:line="576" w:lineRule="exact"/>
        <w:ind w:firstLine="642" w:firstLineChars="200"/>
        <w:textAlignment w:val="auto"/>
        <w:rPr>
          <w:rFonts w:hint="default" w:cs="仿宋_GB2312"/>
          <w:kern w:val="2"/>
          <w:sz w:val="32"/>
          <w:szCs w:val="32"/>
        </w:rPr>
      </w:pPr>
      <w:r>
        <w:rPr>
          <w:rFonts w:hint="eastAsia" w:ascii="楷体_GB2312" w:hAnsi="楷体_GB2312" w:eastAsia="楷体_GB2312" w:cs="楷体_GB2312"/>
          <w:b/>
          <w:bCs/>
          <w:kern w:val="2"/>
          <w:sz w:val="32"/>
          <w:szCs w:val="32"/>
        </w:rPr>
        <w:t>（二）政府采购情况</w:t>
      </w:r>
      <w:r>
        <w:rPr>
          <w:rFonts w:hint="eastAsia" w:ascii="楷体_GB2312" w:hAnsi="楷体_GB2312" w:eastAsia="楷体_GB2312" w:cs="楷体_GB2312"/>
          <w:b/>
          <w:bCs/>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cs="仿宋_GB2312"/>
          <w:color w:val="000000"/>
          <w:kern w:val="2"/>
          <w:sz w:val="32"/>
          <w:szCs w:val="32"/>
        </w:rPr>
        <w:t>4</w:t>
      </w:r>
      <w:r>
        <w:rPr>
          <w:rFonts w:hint="eastAsia" w:cs="仿宋_GB2312"/>
          <w:color w:val="000000"/>
          <w:kern w:val="2"/>
          <w:sz w:val="32"/>
          <w:szCs w:val="32"/>
        </w:rPr>
        <w:t>年</w:t>
      </w:r>
      <w:r>
        <w:rPr>
          <w:rFonts w:hint="eastAsia" w:cs="仿宋_GB2312"/>
          <w:kern w:val="2"/>
          <w:sz w:val="32"/>
          <w:szCs w:val="32"/>
        </w:rPr>
        <w:t>部门（单位）</w:t>
      </w:r>
      <w:r>
        <w:rPr>
          <w:rFonts w:hint="eastAsia" w:cs="仿宋_GB2312"/>
          <w:color w:val="000000"/>
          <w:kern w:val="2"/>
          <w:sz w:val="32"/>
          <w:szCs w:val="32"/>
        </w:rPr>
        <w:t>安排政府采购预算</w:t>
      </w:r>
      <w:r>
        <w:rPr>
          <w:rFonts w:hint="default" w:cs="仿宋_GB2312"/>
          <w:color w:val="000000"/>
          <w:kern w:val="2"/>
          <w:sz w:val="32"/>
          <w:szCs w:val="32"/>
        </w:rPr>
        <w:t>1072.8</w:t>
      </w:r>
      <w:r>
        <w:rPr>
          <w:rFonts w:hint="eastAsia" w:cs="仿宋_GB2312"/>
          <w:color w:val="000000"/>
          <w:kern w:val="2"/>
          <w:sz w:val="32"/>
          <w:szCs w:val="32"/>
        </w:rPr>
        <w:t>万元，主要</w:t>
      </w:r>
      <w:r>
        <w:rPr>
          <w:rFonts w:hint="eastAsia" w:cs="仿宋_GB2312"/>
          <w:kern w:val="2"/>
          <w:sz w:val="32"/>
          <w:szCs w:val="32"/>
        </w:rPr>
        <w:t>用于</w:t>
      </w:r>
      <w:r>
        <w:rPr>
          <w:rFonts w:hint="default" w:cs="仿宋_GB2312"/>
          <w:kern w:val="2"/>
          <w:sz w:val="32"/>
          <w:szCs w:val="32"/>
        </w:rPr>
        <w:t>学员保险、食堂食材采购、培训用车辆租赁、办公计算机采购、综合楼消防设施改造和供电线路改造项目、外聘专职带班教学人员等项目。</w:t>
      </w:r>
    </w:p>
    <w:p>
      <w:pPr>
        <w:pStyle w:val="13"/>
        <w:keepNext w:val="0"/>
        <w:keepLines w:val="0"/>
        <w:pageBreakBefore w:val="0"/>
        <w:kinsoku/>
        <w:wordWrap/>
        <w:overflowPunct/>
        <w:topLinePunct w:val="0"/>
        <w:autoSpaceDE/>
        <w:autoSpaceDN/>
        <w:bidi w:val="0"/>
        <w:adjustRightInd/>
        <w:snapToGrid/>
        <w:spacing w:before="0" w:line="576" w:lineRule="exact"/>
        <w:ind w:firstLine="642" w:firstLineChars="200"/>
        <w:textAlignment w:val="auto"/>
        <w:rPr>
          <w:rFonts w:hint="eastAsia" w:ascii="楷体_GB2312" w:hAnsi="楷体_GB2312" w:eastAsia="楷体_GB2312" w:cs="楷体_GB2312"/>
          <w:b/>
          <w:bCs/>
          <w:kern w:val="2"/>
          <w:sz w:val="32"/>
          <w:szCs w:val="32"/>
        </w:rPr>
      </w:pPr>
      <w:r>
        <w:rPr>
          <w:rFonts w:hint="eastAsia" w:ascii="楷体_GB2312" w:hAnsi="楷体_GB2312" w:eastAsia="楷体_GB2312" w:cs="楷体_GB2312"/>
          <w:b/>
          <w:bCs/>
          <w:kern w:val="2"/>
          <w:sz w:val="32"/>
          <w:szCs w:val="32"/>
        </w:rPr>
        <w:t>（三）国有资产占有使用情况</w:t>
      </w:r>
    </w:p>
    <w:p>
      <w:pPr>
        <w:pStyle w:val="13"/>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default" w:cs="仿宋_GB2312"/>
          <w:kern w:val="2"/>
          <w:sz w:val="32"/>
          <w:szCs w:val="32"/>
        </w:rPr>
      </w:pPr>
      <w:r>
        <w:rPr>
          <w:rFonts w:hint="eastAsia" w:cs="仿宋_GB2312"/>
          <w:kern w:val="2"/>
          <w:sz w:val="32"/>
          <w:szCs w:val="32"/>
        </w:rPr>
        <w:t>截至2023年12月31日，我单位固定资产</w:t>
      </w:r>
      <w:r>
        <w:rPr>
          <w:rFonts w:hint="default" w:cs="仿宋_GB2312"/>
          <w:kern w:val="2"/>
          <w:sz w:val="32"/>
          <w:szCs w:val="32"/>
        </w:rPr>
        <w:t>原值12245.79</w:t>
      </w:r>
      <w:r>
        <w:rPr>
          <w:rFonts w:hint="eastAsia" w:cs="仿宋_GB2312"/>
          <w:kern w:val="2"/>
          <w:sz w:val="32"/>
          <w:szCs w:val="32"/>
        </w:rPr>
        <w:t>万元</w:t>
      </w:r>
      <w:r>
        <w:rPr>
          <w:rFonts w:hint="default" w:cs="仿宋_GB2312"/>
          <w:kern w:val="2"/>
          <w:sz w:val="32"/>
          <w:szCs w:val="32"/>
        </w:rPr>
        <w:t>，累计折旧1725.57万元，资产净10520.22万元。</w:t>
      </w:r>
    </w:p>
    <w:p>
      <w:pPr>
        <w:pStyle w:val="13"/>
        <w:keepNext w:val="0"/>
        <w:keepLines w:val="0"/>
        <w:pageBreakBefore w:val="0"/>
        <w:kinsoku/>
        <w:wordWrap/>
        <w:overflowPunct/>
        <w:topLinePunct w:val="0"/>
        <w:autoSpaceDE/>
        <w:autoSpaceDN/>
        <w:bidi w:val="0"/>
        <w:adjustRightInd/>
        <w:snapToGrid/>
        <w:spacing w:before="0" w:line="576" w:lineRule="exact"/>
        <w:ind w:firstLine="642" w:firstLineChars="200"/>
        <w:textAlignment w:val="auto"/>
        <w:rPr>
          <w:rFonts w:ascii="黑体" w:eastAsia="黑体"/>
          <w:sz w:val="32"/>
          <w:szCs w:val="32"/>
        </w:rPr>
      </w:pPr>
      <w:r>
        <w:rPr>
          <w:rFonts w:hint="eastAsia" w:ascii="楷体_GB2312" w:hAnsi="楷体_GB2312" w:eastAsia="楷体_GB2312" w:cs="楷体_GB2312"/>
          <w:b/>
          <w:bCs/>
          <w:kern w:val="2"/>
          <w:sz w:val="32"/>
          <w:szCs w:val="32"/>
        </w:rPr>
        <w:t>（四）绩效目标设置情况</w:t>
      </w:r>
      <w:r>
        <w:rPr>
          <w:rFonts w:hint="eastAsia" w:ascii="楷体_GB2312" w:hAnsi="楷体_GB2312" w:eastAsia="楷体_GB2312" w:cs="楷体_GB2312"/>
          <w:b/>
          <w:bCs/>
          <w:kern w:val="2"/>
          <w:sz w:val="32"/>
          <w:szCs w:val="32"/>
        </w:rPr>
        <w:br w:type="textWrapping"/>
      </w:r>
      <w:r>
        <w:rPr>
          <w:rFonts w:hint="eastAsia" w:cs="仿宋_GB2312"/>
          <w:kern w:val="2"/>
          <w:sz w:val="32"/>
          <w:szCs w:val="32"/>
        </w:rPr>
        <w:t>　　202</w:t>
      </w:r>
      <w:r>
        <w:rPr>
          <w:rFonts w:cs="仿宋_GB2312"/>
          <w:kern w:val="2"/>
          <w:sz w:val="32"/>
          <w:szCs w:val="32"/>
        </w:rPr>
        <w:t>4</w:t>
      </w:r>
      <w:r>
        <w:rPr>
          <w:rFonts w:hint="eastAsia" w:cs="仿宋_GB2312"/>
          <w:kern w:val="2"/>
          <w:sz w:val="32"/>
          <w:szCs w:val="32"/>
        </w:rPr>
        <w:t>年部门（单位）通用项目和专用项目均按要求实行绩效目标管理，涉及一般公共预算当年拨款</w:t>
      </w:r>
      <w:r>
        <w:rPr>
          <w:rFonts w:hint="default" w:cs="仿宋_GB2312"/>
          <w:kern w:val="2"/>
          <w:sz w:val="32"/>
          <w:szCs w:val="32"/>
        </w:rPr>
        <w:t>3090.54</w:t>
      </w:r>
      <w:r>
        <w:rPr>
          <w:rFonts w:hint="eastAsia" w:cs="仿宋_GB2312"/>
          <w:kern w:val="2"/>
          <w:sz w:val="32"/>
          <w:szCs w:val="32"/>
        </w:rPr>
        <w:t>万元。</w:t>
      </w:r>
    </w:p>
    <w:p>
      <w:pPr>
        <w:pStyle w:val="13"/>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ascii="仿宋_GB2312" w:eastAsia="仿宋_GB2312" w:cs="仿宋_GB231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à.ā">
    <w:altName w:val="楷体_GB2312"/>
    <w:panose1 w:val="00000000000000000000"/>
    <w:charset w:val="00"/>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35E394CA"/>
    <w:rsid w:val="4B6AB992"/>
    <w:rsid w:val="5FFFC1C9"/>
    <w:rsid w:val="6B0C5EEF"/>
    <w:rsid w:val="6EBF79F5"/>
    <w:rsid w:val="6FE32E49"/>
    <w:rsid w:val="763A9CEB"/>
    <w:rsid w:val="774BC28E"/>
    <w:rsid w:val="7AFF026E"/>
    <w:rsid w:val="7CFF1A14"/>
    <w:rsid w:val="7DBDD82F"/>
    <w:rsid w:val="7FFFDA62"/>
    <w:rsid w:val="AFFF49A2"/>
    <w:rsid w:val="B97B564B"/>
    <w:rsid w:val="BEFC6BF1"/>
    <w:rsid w:val="BEFF15EC"/>
    <w:rsid w:val="FF9F2F7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楷体à.ā" w:hAnsi="Calibri" w:eastAsia="楷体à.ā" w:cs="Times New Roman"/>
      <w:color w:val="000000"/>
      <w:sz w:val="24"/>
      <w:szCs w:val="22"/>
      <w:lang w:val="en-US" w:eastAsia="zh-CN" w:bidi="ar-SA"/>
    </w:rPr>
  </w:style>
  <w:style w:type="paragraph" w:styleId="6">
    <w:name w:val="toa heading"/>
    <w:basedOn w:val="1"/>
    <w:next w:val="1"/>
    <w:qFormat/>
    <w:uiPriority w:val="0"/>
    <w:pPr>
      <w:spacing w:before="120"/>
    </w:pPr>
    <w:rPr>
      <w:rFonts w:ascii="Arial" w:hAnsi="Arial" w:cs="Arial"/>
      <w:sz w:val="24"/>
      <w:szCs w:val="24"/>
      <w:lang w:bidi="ar-SA"/>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able of figures"/>
    <w:basedOn w:val="1"/>
    <w:next w:val="1"/>
    <w:qFormat/>
    <w:uiPriority w:val="0"/>
    <w:pPr>
      <w:spacing w:before="100" w:beforeAutospacing="1" w:after="100" w:afterAutospacing="1"/>
      <w:ind w:left="200" w:leftChars="200" w:hanging="200" w:hangingChars="200"/>
    </w:pPr>
    <w:rPr>
      <w:kern w:val="0"/>
      <w:sz w:val="20"/>
      <w:szCs w:val="21"/>
    </w:rPr>
  </w:style>
  <w:style w:type="paragraph" w:styleId="12">
    <w:name w:val="List Paragraph"/>
    <w:basedOn w:val="1"/>
    <w:qFormat/>
    <w:uiPriority w:val="0"/>
    <w:pPr>
      <w:ind w:firstLine="200" w:firstLineChars="200"/>
    </w:pPr>
  </w:style>
  <w:style w:type="paragraph" w:customStyle="1" w:styleId="13">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13</TotalTime>
  <ScaleCrop>false</ScaleCrop>
  <LinksUpToDate>false</LinksUpToDate>
  <CharactersWithSpaces>1800</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2023-01-01T09:44:00Z</dcterms:created>
  <dc:creator>疯丫头。。</dc:creator>
  <cp:lastModifiedBy>user</cp:lastModifiedBy>
  <cp:lastPrinted>2018-02-01T09:39:00Z</cp:lastPrinted>
  <dcterms:modified xsi:type="dcterms:W3CDTF">2024-01-23T16:31:17Z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